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E3E44" w14:textId="77777777" w:rsidR="00E172CB" w:rsidRPr="00E172CB" w:rsidRDefault="00E172CB" w:rsidP="00E172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72CB">
        <w:rPr>
          <w:rFonts w:ascii="Times New Roman" w:hAnsi="Times New Roman" w:cs="Times New Roman"/>
          <w:b/>
          <w:bCs/>
          <w:sz w:val="28"/>
          <w:szCs w:val="28"/>
        </w:rPr>
        <w:t>«Право на обмен и возврат учебной и иной непериодической литературы»</w:t>
      </w:r>
    </w:p>
    <w:p w14:paraId="40B1E58D" w14:textId="2506A68C" w:rsidR="00E172CB" w:rsidRPr="00E172CB" w:rsidRDefault="00E172CB" w:rsidP="00E17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В соответствии с п. 1 ст. 25 Закона РФ от 07.02.1992 г. № 2300-1 «О защите прав потребителей» (далее - Закон)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14:paraId="410DBF57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Потребитель имеет право на обмен непродовольственного товара надлежащего качества в течение четырнадцати дней, не считая дня его покупки.</w:t>
      </w:r>
    </w:p>
    <w:p w14:paraId="47724C10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</w:t>
      </w:r>
    </w:p>
    <w:p w14:paraId="06DCEB64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Отсутствие у потребителя товарного чека или кассового чека либо иного        подтверждающего оплату товара документа не лишает его возможности ссылаться на свидетельские показания.</w:t>
      </w:r>
    </w:p>
    <w:p w14:paraId="643F0C2E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 xml:space="preserve">         Однако не любой товар можно вернуть. В соответствии с п. 14 Перечня непродовольственных товаров надлежащего качества, не подлежащих обмену (утв. постановлением Правительства РФ от 31.12.2020 г. № 2463), непериодические издания (книги, брошюры, альбомы, картографические и нотные издания, листовые </w:t>
      </w:r>
      <w:proofErr w:type="spellStart"/>
      <w:r w:rsidRPr="00E172CB">
        <w:rPr>
          <w:rFonts w:ascii="Times New Roman" w:hAnsi="Times New Roman" w:cs="Times New Roman"/>
          <w:sz w:val="28"/>
          <w:szCs w:val="28"/>
        </w:rPr>
        <w:t>изоиздания</w:t>
      </w:r>
      <w:proofErr w:type="spellEnd"/>
      <w:r w:rsidRPr="00E172CB">
        <w:rPr>
          <w:rFonts w:ascii="Times New Roman" w:hAnsi="Times New Roman" w:cs="Times New Roman"/>
          <w:sz w:val="28"/>
          <w:szCs w:val="28"/>
        </w:rPr>
        <w:t>, календари, буклеты, издания, воспроизведенные на технических носителях информации) обмену или возврату не подлежат.</w:t>
      </w:r>
    </w:p>
    <w:p w14:paraId="61C32B08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Таким образом, отказ продавца в обмене (возврате) непериодического издания надлежащего качества не нарушает права потребителя.</w:t>
      </w:r>
    </w:p>
    <w:p w14:paraId="1756C872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В том случае, если учебник приобретен дистанционным способом в интернет-магазине, то в соответствии со ст. 26.1 Закона вернуть заказанный онлайн-товар можно в любое время до его передачи, а после передачи - в течение 7 дней. </w:t>
      </w:r>
    </w:p>
    <w:p w14:paraId="77547E86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В случае, если информация о порядке и сроках возврата товара надлежащего качества не была предоставлена в письменной форме в момент доставки товара, потребитель вправе отказаться от товара в течение трех месяцев с момента передачи товара.</w:t>
      </w:r>
    </w:p>
    <w:p w14:paraId="7F86D4F6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При обнаружении недостатка потребитель на основании п. 1 ст. 18 Закона имеет право, в том числе требовать произвести обмен товара на аналогичный либо товар другой марки (модели, артикула) с соответствующим перерасчетом покупной цены, либо принять отказ от исполнения договора купли-продажи и произвести возврат оплаченных покупателем денежных средств в полном объеме. Данные требования могут быть предъявлены в течение всего гарантийного срока, а при его отсутствии - в разумные сроки в пределах двух лет (п. 1 ст. 19 Закона).</w:t>
      </w:r>
    </w:p>
    <w:p w14:paraId="72A4CBFD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 xml:space="preserve">         Потребителю необходимо обратиться в адрес продавца с письменной претензией, составленной в двух экземплярах, с требованием обменять товар </w:t>
      </w:r>
      <w:r w:rsidRPr="00E172CB">
        <w:rPr>
          <w:rFonts w:ascii="Times New Roman" w:hAnsi="Times New Roman" w:cs="Times New Roman"/>
          <w:sz w:val="28"/>
          <w:szCs w:val="28"/>
        </w:rPr>
        <w:lastRenderedPageBreak/>
        <w:t>либо произвести возврат денежных средств. Претензия передается лично по месту совершения покупки либо направляется по почте заказным письмом по юридическому адресу продавца. В случае отказа или при отсутствии ответа необходимо обращаться в суд.</w:t>
      </w:r>
    </w:p>
    <w:p w14:paraId="37329508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Обратите внимание! В соответствии с ст. 8 Технического регламента            Таможенного союза «О безопасности продукции, предназначенной для детей и подростков» (ТР ТС 007/2011), утверждённого решением Комиссии Таможенного союза от 23.09.2011 г. № 797 (далее - ТР ТС 007/2011), биологическая безопасность издательской продукции определяется параметрами шрифтового оформления и приемами оформления текстов в зависимости от вида издания, объема текста единовременного прочтения, возраста пользователя и в соответствии с физиологическими особенностями органов зрения детей и подростков.</w:t>
      </w:r>
    </w:p>
    <w:p w14:paraId="2A8C31F1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В случае если издательская продукция рассчитана на 2 или 3 возрастные группы, то такая продукция должна соответствовать требованиям, установленным к наименьшей из указанных в читательском адресе возрастных групп.</w:t>
      </w:r>
    </w:p>
    <w:p w14:paraId="5F64C2D1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В изданиях литературно-художественных, развивающего обучения, для дополнительного образования и научно-популярных для текста не рекомендуется применять цветные краски и выворотку шрифта.</w:t>
      </w:r>
    </w:p>
    <w:p w14:paraId="3792A4B7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В изданиях справочных и для досуга при печати цветными красками на цветном фоне кегль шрифта должен быть не менее 20 пунктов, объем текста - не более 200 знаков.</w:t>
      </w:r>
    </w:p>
    <w:p w14:paraId="0FC5E3B0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Издательская продукция должна соответствовать требованиям химической безопасности и не должна выделять вредные вещества.</w:t>
      </w:r>
    </w:p>
    <w:p w14:paraId="35BC9D4C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Для изготовления тетрадей школьных и общих, для записи слов, для подготовки дошкольников к письму, для нот, дневников школьных используется бумага писчая, а также другие виды полиграфической бумаги определённой плотности. Применение глянцевой бумаги не допускается.</w:t>
      </w:r>
    </w:p>
    <w:p w14:paraId="1FEB3598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2CB">
        <w:rPr>
          <w:rFonts w:ascii="Times New Roman" w:hAnsi="Times New Roman" w:cs="Times New Roman"/>
          <w:sz w:val="28"/>
          <w:szCs w:val="28"/>
        </w:rPr>
        <w:t>         Для производства альбомов, папок и тетрадей для рисования используется бумага рисовальная, а также другие виды полиграфической бумаги определённой плотности; альбомов и папок для черчения - бумага чертежная, а также другие виды полиграфической бумаги определённой плотности.</w:t>
      </w:r>
    </w:p>
    <w:p w14:paraId="511B9198" w14:textId="77777777" w:rsidR="00E172CB" w:rsidRPr="00E172CB" w:rsidRDefault="00E172CB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BB9A6" w14:textId="77777777" w:rsidR="00F76554" w:rsidRPr="00E172CB" w:rsidRDefault="00F76554" w:rsidP="00E172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E1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87690"/>
    <w:multiLevelType w:val="multilevel"/>
    <w:tmpl w:val="AE42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68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CB"/>
    <w:rsid w:val="00D0133A"/>
    <w:rsid w:val="00D264A1"/>
    <w:rsid w:val="00E172CB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BB89"/>
  <w15:chartTrackingRefBased/>
  <w15:docId w15:val="{999AA129-94B1-4D61-8D9C-C832D14F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7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2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2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2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72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72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72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72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72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72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72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72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7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7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7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7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7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72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72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72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72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72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72C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72C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1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2025-09-02T08:04:00Z</dcterms:created>
  <dcterms:modified xsi:type="dcterms:W3CDTF">2025-09-02T08:07:00Z</dcterms:modified>
</cp:coreProperties>
</file>